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710C">
      <w:pPr>
        <w:spacing w:line="400" w:lineRule="exact"/>
        <w:ind w:firstLine="310" w:firstLineChars="147"/>
        <w:jc w:val="left"/>
        <w:rPr>
          <w:b/>
        </w:rPr>
      </w:pPr>
      <w:bookmarkStart w:id="0" w:name="_Toc254970490"/>
      <w:bookmarkStart w:id="1" w:name="_Toc254970631"/>
      <w:r>
        <w:rPr>
          <w:rFonts w:hint="eastAsia"/>
          <w:b/>
          <w:lang w:val="en-US" w:eastAsia="zh-CN"/>
        </w:rPr>
        <w:t>1、</w:t>
      </w:r>
      <w:r>
        <w:rPr>
          <w:rFonts w:hint="eastAsia"/>
          <w:b/>
        </w:rPr>
        <w:t>采购需求一览表</w:t>
      </w:r>
      <w:bookmarkStart w:id="10" w:name="_GoBack"/>
      <w:bookmarkEnd w:id="10"/>
    </w:p>
    <w:bookmarkEnd w:id="0"/>
    <w:bookmarkEnd w:id="1"/>
    <w:tbl>
      <w:tblPr>
        <w:tblStyle w:val="5"/>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518"/>
        <w:gridCol w:w="567"/>
        <w:gridCol w:w="567"/>
        <w:gridCol w:w="6500"/>
      </w:tblGrid>
      <w:tr w14:paraId="5719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798" w:type="dxa"/>
            <w:gridSpan w:val="5"/>
            <w:vAlign w:val="center"/>
          </w:tcPr>
          <w:p w14:paraId="6165D337">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b/>
                <w:color w:val="auto"/>
                <w:szCs w:val="21"/>
              </w:rPr>
              <w:t>一、采购标的及技术需求</w:t>
            </w:r>
          </w:p>
        </w:tc>
      </w:tr>
      <w:tr w14:paraId="15C17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6" w:type="dxa"/>
            <w:tcBorders>
              <w:right w:val="single" w:color="auto" w:sz="4" w:space="0"/>
            </w:tcBorders>
            <w:vAlign w:val="center"/>
          </w:tcPr>
          <w:p w14:paraId="4DD6A479">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项号</w:t>
            </w:r>
          </w:p>
        </w:tc>
        <w:tc>
          <w:tcPr>
            <w:tcW w:w="1518" w:type="dxa"/>
            <w:tcBorders>
              <w:right w:val="single" w:color="auto" w:sz="4" w:space="0"/>
            </w:tcBorders>
            <w:vAlign w:val="center"/>
          </w:tcPr>
          <w:p w14:paraId="2E86B652">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标的名称</w:t>
            </w:r>
          </w:p>
        </w:tc>
        <w:tc>
          <w:tcPr>
            <w:tcW w:w="567" w:type="dxa"/>
            <w:tcBorders>
              <w:left w:val="single" w:color="auto" w:sz="4" w:space="0"/>
            </w:tcBorders>
            <w:vAlign w:val="center"/>
          </w:tcPr>
          <w:p w14:paraId="7178D2B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数量</w:t>
            </w:r>
          </w:p>
        </w:tc>
        <w:tc>
          <w:tcPr>
            <w:tcW w:w="567" w:type="dxa"/>
            <w:vAlign w:val="center"/>
          </w:tcPr>
          <w:p w14:paraId="2238026C">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单位</w:t>
            </w:r>
          </w:p>
        </w:tc>
        <w:tc>
          <w:tcPr>
            <w:tcW w:w="6500" w:type="dxa"/>
            <w:vAlign w:val="center"/>
          </w:tcPr>
          <w:p w14:paraId="28CE34C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技术要求</w:t>
            </w:r>
          </w:p>
        </w:tc>
      </w:tr>
      <w:tr w14:paraId="140E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0E4B657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1518" w:type="dxa"/>
            <w:tcBorders>
              <w:right w:val="single" w:color="auto" w:sz="4" w:space="0"/>
            </w:tcBorders>
            <w:vAlign w:val="center"/>
          </w:tcPr>
          <w:p w14:paraId="5BE1F562">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bookmarkStart w:id="2" w:name="OLE_LINK1"/>
            <w:bookmarkStart w:id="3" w:name="OLE_LINK2"/>
            <w:r>
              <w:rPr>
                <w:rFonts w:hint="eastAsia" w:cs="宋体" w:asciiTheme="majorEastAsia" w:hAnsiTheme="majorEastAsia" w:eastAsiaTheme="majorEastAsia"/>
                <w:color w:val="auto"/>
                <w:szCs w:val="21"/>
                <w:lang w:val="en-US" w:eastAsia="zh-CN"/>
              </w:rPr>
              <w:t>具身智能</w:t>
            </w:r>
            <w:r>
              <w:rPr>
                <w:rFonts w:cs="宋体" w:asciiTheme="majorEastAsia" w:hAnsiTheme="majorEastAsia" w:eastAsiaTheme="majorEastAsia"/>
                <w:color w:val="auto"/>
                <w:szCs w:val="21"/>
              </w:rPr>
              <w:t>机器人</w:t>
            </w:r>
            <w:bookmarkEnd w:id="2"/>
            <w:bookmarkEnd w:id="3"/>
          </w:p>
        </w:tc>
        <w:tc>
          <w:tcPr>
            <w:tcW w:w="567" w:type="dxa"/>
            <w:tcBorders>
              <w:left w:val="single" w:color="auto" w:sz="4" w:space="0"/>
            </w:tcBorders>
            <w:vAlign w:val="center"/>
          </w:tcPr>
          <w:p w14:paraId="77F526B8">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eastAsia="zh-CN"/>
              </w:rPr>
            </w:pPr>
            <w:r>
              <w:rPr>
                <w:rFonts w:hint="eastAsia" w:cs="宋体" w:asciiTheme="majorEastAsia" w:hAnsiTheme="majorEastAsia" w:eastAsiaTheme="majorEastAsia"/>
                <w:color w:val="auto"/>
                <w:szCs w:val="21"/>
                <w:lang w:val="en-US" w:eastAsia="zh-CN"/>
              </w:rPr>
              <w:t>2</w:t>
            </w:r>
          </w:p>
        </w:tc>
        <w:tc>
          <w:tcPr>
            <w:tcW w:w="567" w:type="dxa"/>
            <w:vAlign w:val="center"/>
          </w:tcPr>
          <w:p w14:paraId="4B32811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台</w:t>
            </w:r>
          </w:p>
        </w:tc>
        <w:tc>
          <w:tcPr>
            <w:tcW w:w="6500" w:type="dxa"/>
            <w:vAlign w:val="center"/>
          </w:tcPr>
          <w:p w14:paraId="7C1A3C3F">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1.高宽厚(站立)：≥1320×450×200mm</w:t>
            </w:r>
          </w:p>
          <w:p w14:paraId="0DE3A7B8">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 xml:space="preserve">  高宽厚(折叠)：≥690×450×300mm</w:t>
            </w:r>
          </w:p>
          <w:p w14:paraId="5AD4DBB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2.带电池重量：≥35kg；</w:t>
            </w:r>
          </w:p>
          <w:p w14:paraId="659E10C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3.总自由度(关节电机)：≥</w:t>
            </w:r>
            <w:r>
              <w:rPr>
                <w:rFonts w:hint="eastAsia" w:ascii="等线" w:hAnsi="等线" w:eastAsia="等线" w:cs="等线"/>
                <w:color w:val="auto"/>
                <w:sz w:val="22"/>
                <w:szCs w:val="22"/>
                <w:lang w:val="en-US" w:eastAsia="zh-CN"/>
              </w:rPr>
              <w:t>41</w:t>
            </w:r>
            <w:r>
              <w:rPr>
                <w:rFonts w:hint="eastAsia" w:ascii="等线" w:hAnsi="等线" w:eastAsia="等线" w:cs="等线"/>
                <w:color w:val="auto"/>
                <w:sz w:val="22"/>
                <w:szCs w:val="22"/>
              </w:rPr>
              <w:t>；</w:t>
            </w:r>
          </w:p>
          <w:p w14:paraId="31A8AE7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4.单腿自由度：≥6个；</w:t>
            </w:r>
          </w:p>
          <w:p w14:paraId="4268B48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5.腰部自由度：≥3个；</w:t>
            </w:r>
          </w:p>
          <w:p w14:paraId="06B5105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▲6.单手臂自由度：≥7个；</w:t>
            </w:r>
          </w:p>
          <w:p w14:paraId="66AD8738">
            <w:pPr>
              <w:widowControl/>
              <w:jc w:val="left"/>
              <w:textAlignment w:val="center"/>
              <w:rPr>
                <w:rFonts w:hint="eastAsia" w:ascii="等线" w:hAnsi="等线" w:eastAsia="等线" w:cs="等线"/>
                <w:color w:val="auto"/>
                <w:sz w:val="22"/>
                <w:szCs w:val="22"/>
                <w:lang w:eastAsia="zh-CN"/>
              </w:rPr>
            </w:pPr>
            <w:r>
              <w:rPr>
                <w:rFonts w:hint="eastAsia" w:ascii="等线" w:hAnsi="等线" w:eastAsia="等线" w:cs="等线"/>
                <w:color w:val="auto"/>
                <w:sz w:val="22"/>
                <w:szCs w:val="22"/>
              </w:rPr>
              <w:t>7.配备2只五指</w:t>
            </w:r>
            <w:r>
              <w:rPr>
                <w:rFonts w:hint="eastAsia" w:ascii="等线" w:hAnsi="等线" w:eastAsia="等线" w:cs="等线"/>
                <w:color w:val="auto"/>
                <w:sz w:val="22"/>
                <w:szCs w:val="22"/>
                <w:lang w:val="en-US" w:eastAsia="zh-CN"/>
              </w:rPr>
              <w:t>黑色假</w:t>
            </w:r>
            <w:r>
              <w:rPr>
                <w:rFonts w:hint="eastAsia" w:ascii="等线" w:hAnsi="等线" w:eastAsia="等线" w:cs="等线"/>
                <w:color w:val="auto"/>
                <w:sz w:val="22"/>
                <w:szCs w:val="22"/>
              </w:rPr>
              <w:t>手</w:t>
            </w:r>
            <w:r>
              <w:rPr>
                <w:rFonts w:hint="eastAsia" w:ascii="等线" w:hAnsi="等线" w:eastAsia="等线" w:cs="等线"/>
                <w:color w:val="auto"/>
                <w:sz w:val="22"/>
                <w:szCs w:val="22"/>
                <w:lang w:eastAsia="zh-CN"/>
              </w:rPr>
              <w:t>；</w:t>
            </w:r>
          </w:p>
          <w:p w14:paraId="4F602A79">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▲8.支持智能OTA升级；</w:t>
            </w:r>
          </w:p>
          <w:p w14:paraId="65D4531A">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 xml:space="preserve">▲9.感知传感器：深度相机+3D激光雷达 </w:t>
            </w:r>
          </w:p>
          <w:p w14:paraId="4710FDE2">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9.1深度相机</w:t>
            </w:r>
          </w:p>
          <w:p w14:paraId="36BEF4AE">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9.1.1 传感器类型 ：主动立体红外成像，包含1个RGB传感器、2个红外传感器及红外发射器。</w:t>
            </w:r>
          </w:p>
          <w:p w14:paraId="016F341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▲9.1.2 IMU模块 ：支持6自由度运动追踪（平移+旋转），为3D模型重建提供数据支持。</w:t>
            </w:r>
          </w:p>
          <w:p w14:paraId="4AD85CA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9.1.3 深度分辨率 ：1280×720（双目）。</w:t>
            </w:r>
          </w:p>
          <w:p w14:paraId="33902E7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9.1.4 帧率 ：最高90FPS7。</w:t>
            </w:r>
          </w:p>
          <w:p w14:paraId="761F9279">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9.1.5 深度探测范围 ：0.2m~10m</w:t>
            </w:r>
          </w:p>
          <w:p w14:paraId="678328A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▲9.1.6 视场深度 ：H:87°，V:58°（±3°）1。；</w:t>
            </w:r>
          </w:p>
          <w:p w14:paraId="399DE65E">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 3D混合固态激光雷达：</w:t>
            </w:r>
          </w:p>
          <w:p w14:paraId="00FC15BD">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9.2.1 激光波长:905 nm</w:t>
            </w:r>
          </w:p>
          <w:p w14:paraId="11E749C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9.2.2 FOV:水平 360°, 竖直 -7°~52°</w:t>
            </w:r>
          </w:p>
          <w:p w14:paraId="7D98D20E">
            <w:pPr>
              <w:widowControl/>
              <w:jc w:val="left"/>
              <w:textAlignment w:val="center"/>
              <w:rPr>
                <w:rFonts w:ascii="等线" w:hAnsi="等线" w:eastAsia="等线" w:cs="等线"/>
                <w:color w:val="auto"/>
                <w:sz w:val="22"/>
                <w:szCs w:val="22"/>
              </w:rPr>
            </w:pPr>
            <w:r>
              <w:rPr>
                <w:rFonts w:ascii="等线" w:hAnsi="等线" w:eastAsia="等线" w:cs="等线"/>
                <w:color w:val="auto"/>
                <w:sz w:val="22"/>
                <w:szCs w:val="22"/>
              </w:rPr>
              <w:t xml:space="preserve">9.2,3 </w:t>
            </w:r>
            <w:r>
              <w:rPr>
                <w:rFonts w:hint="eastAsia" w:ascii="等线" w:hAnsi="等线" w:eastAsia="等线" w:cs="等线"/>
                <w:color w:val="auto"/>
                <w:sz w:val="22"/>
                <w:szCs w:val="22"/>
              </w:rPr>
              <w:t>测距随机误差</w:t>
            </w:r>
            <w:r>
              <w:rPr>
                <w:rFonts w:ascii="等线" w:hAnsi="等线" w:eastAsia="等线" w:cs="等线"/>
                <w:color w:val="auto"/>
                <w:sz w:val="22"/>
                <w:szCs w:val="22"/>
              </w:rPr>
              <w:t xml:space="preserve"> (1σ) :</w:t>
            </w:r>
            <w:r>
              <w:rPr>
                <w:rFonts w:hint="eastAsia" w:ascii="等线" w:hAnsi="等线" w:eastAsia="等线" w:cs="等线"/>
                <w:color w:val="auto"/>
                <w:sz w:val="22"/>
                <w:szCs w:val="22"/>
              </w:rPr>
              <w:t>≤</w:t>
            </w:r>
            <w:r>
              <w:rPr>
                <w:rFonts w:ascii="等线" w:hAnsi="等线" w:eastAsia="等线" w:cs="等线"/>
                <w:color w:val="auto"/>
                <w:sz w:val="22"/>
                <w:szCs w:val="22"/>
              </w:rPr>
              <w:t xml:space="preserve"> 2 cm ⁴</w:t>
            </w:r>
            <w:r>
              <w:rPr>
                <w:rFonts w:hint="eastAsia" w:ascii="等线" w:hAnsi="等线" w:eastAsia="等线" w:cs="等线"/>
                <w:color w:val="auto"/>
                <w:sz w:val="22"/>
                <w:szCs w:val="22"/>
              </w:rPr>
              <w:t xml:space="preserve"> (@ 10m)</w:t>
            </w:r>
          </w:p>
          <w:p w14:paraId="747D3222">
            <w:pPr>
              <w:widowControl/>
              <w:jc w:val="left"/>
              <w:textAlignment w:val="center"/>
              <w:rPr>
                <w:rFonts w:ascii="等线" w:hAnsi="等线" w:eastAsia="等线" w:cs="等线"/>
                <w:color w:val="auto"/>
                <w:sz w:val="22"/>
                <w:szCs w:val="22"/>
              </w:rPr>
            </w:pPr>
            <w:r>
              <w:rPr>
                <w:rFonts w:ascii="等线" w:hAnsi="等线" w:eastAsia="等线" w:cs="等线"/>
                <w:color w:val="auto"/>
                <w:sz w:val="22"/>
                <w:szCs w:val="22"/>
              </w:rPr>
              <w:t xml:space="preserve">                       </w:t>
            </w:r>
            <w:r>
              <w:rPr>
                <w:rFonts w:hint="eastAsia" w:ascii="等线" w:hAnsi="等线" w:eastAsia="等线" w:cs="等线"/>
                <w:color w:val="auto"/>
                <w:sz w:val="22"/>
                <w:szCs w:val="22"/>
              </w:rPr>
              <w:t>≤</w:t>
            </w:r>
            <w:r>
              <w:rPr>
                <w:rFonts w:ascii="等线" w:hAnsi="等线" w:eastAsia="等线" w:cs="等线"/>
                <w:color w:val="auto"/>
                <w:sz w:val="22"/>
                <w:szCs w:val="22"/>
              </w:rPr>
              <w:t xml:space="preserve"> 3 cm </w:t>
            </w:r>
            <w:r>
              <w:rPr>
                <w:rFonts w:hint="eastAsia" w:ascii="等线" w:hAnsi="等线" w:eastAsia="等线" w:cs="等线"/>
                <w:color w:val="auto"/>
                <w:sz w:val="22"/>
                <w:szCs w:val="22"/>
              </w:rPr>
              <w:t>⁵ (@ 0.2m)</w:t>
            </w:r>
          </w:p>
          <w:p w14:paraId="496C6BAF">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9.2.4 角度随机误差（1σ ）:&lt; 0.15º</w:t>
            </w:r>
          </w:p>
          <w:p w14:paraId="4EB862D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▲9.2.5 点云输出:200,000 点/秒 (可配置第一回波)</w:t>
            </w:r>
          </w:p>
          <w:p w14:paraId="5517970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9.2.6 点云帧率:10 Hz (典型值)</w:t>
            </w:r>
          </w:p>
          <w:p w14:paraId="1B2630B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9.2.7 数据网口:100 BASE-TX 以太网</w:t>
            </w:r>
          </w:p>
          <w:p w14:paraId="2A40C6FD">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9.2.8 数据同步方式:IEEE 1588-2008 (PTPv2), GPS</w:t>
            </w:r>
          </w:p>
          <w:p w14:paraId="0D0EC69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9.2.9 抗串扰功能:有</w:t>
            </w:r>
          </w:p>
          <w:p w14:paraId="7770E21E">
            <w:pPr>
              <w:widowControl/>
              <w:jc w:val="left"/>
              <w:textAlignment w:val="center"/>
              <w:rPr>
                <w:rFonts w:ascii="等线" w:hAnsi="等线" w:eastAsia="等线" w:cs="等线"/>
                <w:color w:val="auto"/>
                <w:sz w:val="22"/>
                <w:szCs w:val="22"/>
              </w:rPr>
            </w:pPr>
            <w:r>
              <w:rPr>
                <w:rFonts w:ascii="等线" w:hAnsi="等线" w:eastAsia="等线" w:cs="等线"/>
                <w:color w:val="auto"/>
                <w:sz w:val="22"/>
                <w:szCs w:val="22"/>
              </w:rPr>
              <w:t>9.2.10</w:t>
            </w:r>
            <w:r>
              <w:rPr>
                <w:rFonts w:hint="eastAsia" w:ascii="等线" w:hAnsi="等线" w:eastAsia="等线" w:cs="等线"/>
                <w:color w:val="auto"/>
                <w:sz w:val="22"/>
                <w:szCs w:val="22"/>
              </w:rPr>
              <w:t>虚警率</w:t>
            </w:r>
            <w:r>
              <w:rPr>
                <w:rFonts w:ascii="等线" w:hAnsi="等线" w:eastAsia="等线" w:cs="等线"/>
                <w:color w:val="auto"/>
                <w:sz w:val="22"/>
                <w:szCs w:val="22"/>
              </w:rPr>
              <w:t xml:space="preserve"> (@ 100 klx) </w:t>
            </w:r>
            <w:r>
              <w:rPr>
                <w:rFonts w:hint="eastAsia" w:ascii="等线" w:hAnsi="等线" w:eastAsia="等线" w:cs="等线"/>
                <w:color w:val="auto"/>
                <w:sz w:val="22"/>
                <w:szCs w:val="22"/>
              </w:rPr>
              <w:t>⁶:&lt; 0.01%</w:t>
            </w:r>
          </w:p>
          <w:p w14:paraId="370F9B1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9.2.11  IMU:内置 IMU 型号：ICM40609</w:t>
            </w:r>
          </w:p>
          <w:p w14:paraId="0E846614">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9.2.12 防护等级:IP67</w:t>
            </w:r>
          </w:p>
          <w:p w14:paraId="45AB2524">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9.2.13 功率 :6.5 W</w:t>
            </w:r>
          </w:p>
          <w:p w14:paraId="0434857F">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9.2.14 供电电压范围:9 ~ 27 V DC</w:t>
            </w:r>
          </w:p>
          <w:p w14:paraId="3D71CDEA">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▲10.膝关节最大扭矩：≥120N.m；</w:t>
            </w:r>
          </w:p>
          <w:p w14:paraId="34B55945">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11.手臂最大负载：≥3kg；</w:t>
            </w:r>
          </w:p>
          <w:p w14:paraId="3D49EC99">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12.小腿+大腿长度：≥0.6m</w:t>
            </w:r>
          </w:p>
          <w:p w14:paraId="32FC1AD8">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13.手臂臂展：≥0.45m</w:t>
            </w:r>
          </w:p>
          <w:p w14:paraId="1BD3AD1E">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▲14.关节运动空间</w:t>
            </w:r>
          </w:p>
          <w:p w14:paraId="0C3E00D8">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14.1腰部Z轴关节：Z±155°、X±45°、Y±158°或优于；</w:t>
            </w:r>
          </w:p>
          <w:p w14:paraId="6F9E36CD">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14.2膝关节：0~165°或优于；</w:t>
            </w:r>
          </w:p>
          <w:p w14:paraId="15520BFA">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14.3髋关节：P±154°、R-30~±170°、Y±158°或优于；</w:t>
            </w:r>
          </w:p>
          <w:p w14:paraId="0BA0731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14.4手腕关节：二自由度手腕P±92.5°、Y±92.5°或优于；</w:t>
            </w:r>
          </w:p>
          <w:p w14:paraId="5B6A2946">
            <w:pPr>
              <w:widowControl/>
              <w:jc w:val="left"/>
              <w:textAlignment w:val="center"/>
              <w:rPr>
                <w:rFonts w:hint="default" w:ascii="等线" w:hAnsi="等线" w:eastAsia="等线" w:cs="等线"/>
                <w:color w:val="auto"/>
                <w:sz w:val="22"/>
                <w:szCs w:val="22"/>
                <w:lang w:val="en-US" w:eastAsia="zh-CN"/>
              </w:rPr>
            </w:pPr>
            <w:r>
              <w:rPr>
                <w:rFonts w:hint="eastAsia" w:ascii="等线" w:hAnsi="等线" w:eastAsia="等线" w:cs="等线"/>
                <w:color w:val="auto"/>
                <w:sz w:val="22"/>
                <w:szCs w:val="22"/>
              </w:rPr>
              <w:t>▲15.</w:t>
            </w:r>
            <w:r>
              <w:rPr>
                <w:rFonts w:hint="eastAsia" w:ascii="等线" w:hAnsi="等线" w:eastAsia="等线" w:cs="等线"/>
                <w:color w:val="auto"/>
                <w:sz w:val="22"/>
                <w:szCs w:val="22"/>
                <w:lang w:val="en-US" w:eastAsia="zh-CN"/>
              </w:rPr>
              <w:t>走线和散热及编码器的要求：</w:t>
            </w:r>
          </w:p>
          <w:p w14:paraId="77F6EF6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15.1</w:t>
            </w:r>
            <w:r>
              <w:rPr>
                <w:rFonts w:hint="eastAsia" w:ascii="等线" w:hAnsi="等线" w:eastAsia="等线" w:cs="等线"/>
                <w:color w:val="auto"/>
                <w:sz w:val="22"/>
                <w:szCs w:val="22"/>
              </w:rPr>
              <w:t>具备全关节中空内走线；</w:t>
            </w:r>
          </w:p>
          <w:p w14:paraId="2CBA2255">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15.2</w:t>
            </w:r>
            <w:r>
              <w:rPr>
                <w:rFonts w:hint="eastAsia" w:ascii="等线" w:hAnsi="等线" w:eastAsia="等线" w:cs="等线"/>
                <w:color w:val="auto"/>
                <w:sz w:val="22"/>
                <w:szCs w:val="22"/>
              </w:rPr>
              <w:t>散热系统：局部风冷散热；</w:t>
            </w:r>
          </w:p>
          <w:p w14:paraId="17704F6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15.3</w:t>
            </w:r>
            <w:r>
              <w:rPr>
                <w:rFonts w:hint="eastAsia" w:ascii="等线" w:hAnsi="等线" w:eastAsia="等线" w:cs="等线"/>
                <w:color w:val="auto"/>
                <w:sz w:val="22"/>
                <w:szCs w:val="22"/>
              </w:rPr>
              <w:t>关节编码器：双编码器或优于；</w:t>
            </w:r>
          </w:p>
          <w:p w14:paraId="3EF28D20">
            <w:pPr>
              <w:widowControl/>
              <w:jc w:val="left"/>
              <w:textAlignment w:val="center"/>
              <w:rPr>
                <w:rFonts w:hint="default" w:ascii="等线" w:hAnsi="等线" w:eastAsia="等线" w:cs="等线"/>
                <w:color w:val="auto"/>
                <w:sz w:val="22"/>
                <w:szCs w:val="22"/>
                <w:lang w:val="en-US" w:eastAsia="zh-CN"/>
              </w:rPr>
            </w:pPr>
            <w:r>
              <w:rPr>
                <w:rFonts w:hint="eastAsia" w:ascii="等线" w:hAnsi="等线" w:eastAsia="等线" w:cs="等线"/>
                <w:color w:val="auto"/>
                <w:sz w:val="22"/>
                <w:szCs w:val="22"/>
              </w:rPr>
              <w:t>16.</w:t>
            </w:r>
            <w:r>
              <w:rPr>
                <w:rFonts w:hint="eastAsia" w:ascii="等线" w:hAnsi="等线" w:eastAsia="等线" w:cs="等线"/>
                <w:color w:val="auto"/>
                <w:sz w:val="22"/>
                <w:szCs w:val="22"/>
                <w:lang w:val="en-US" w:eastAsia="zh-CN"/>
              </w:rPr>
              <w:t>专用电池一块，要求如下：</w:t>
            </w:r>
          </w:p>
          <w:p w14:paraId="7843AFF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16.</w:t>
            </w:r>
            <w:r>
              <w:rPr>
                <w:rFonts w:hint="eastAsia" w:ascii="等线" w:hAnsi="等线" w:eastAsia="等线" w:cs="等线"/>
                <w:color w:val="auto"/>
                <w:sz w:val="22"/>
                <w:szCs w:val="22"/>
              </w:rPr>
              <w:t>1.产品尺寸：≤120mm*80mm*182mm</w:t>
            </w:r>
          </w:p>
          <w:p w14:paraId="6482B910">
            <w:pPr>
              <w:widowControl/>
              <w:jc w:val="left"/>
              <w:textAlignment w:val="center"/>
              <w:rPr>
                <w:rFonts w:hint="eastAsia" w:ascii="等线" w:hAnsi="等线" w:eastAsia="等线" w:cs="等线"/>
                <w:color w:val="auto"/>
                <w:sz w:val="22"/>
                <w:szCs w:val="22"/>
                <w:lang w:eastAsia="zh-CN"/>
              </w:rPr>
            </w:pPr>
            <w:r>
              <w:rPr>
                <w:rFonts w:hint="eastAsia" w:ascii="等线" w:hAnsi="等线" w:eastAsia="等线" w:cs="等线"/>
                <w:color w:val="auto"/>
                <w:sz w:val="22"/>
                <w:szCs w:val="22"/>
                <w:lang w:val="en-US" w:eastAsia="zh-CN"/>
              </w:rPr>
              <w:t>16.</w:t>
            </w:r>
            <w:r>
              <w:rPr>
                <w:rFonts w:hint="eastAsia" w:ascii="等线" w:hAnsi="等线" w:eastAsia="等线" w:cs="等线"/>
                <w:color w:val="auto"/>
                <w:sz w:val="22"/>
                <w:szCs w:val="22"/>
              </w:rPr>
              <w:t xml:space="preserve">2.额定容量：≥9000mAh 额定能量不得低于421.2Wh </w:t>
            </w:r>
            <w:r>
              <w:rPr>
                <w:rFonts w:hint="eastAsia" w:ascii="等线" w:hAnsi="等线" w:eastAsia="等线" w:cs="等线"/>
                <w:color w:val="auto"/>
                <w:sz w:val="22"/>
                <w:szCs w:val="22"/>
                <w:lang w:eastAsia="zh-CN"/>
              </w:rPr>
              <w:t>；</w:t>
            </w:r>
          </w:p>
          <w:p w14:paraId="20CFC012">
            <w:pPr>
              <w:widowControl/>
              <w:jc w:val="left"/>
              <w:textAlignment w:val="center"/>
              <w:rPr>
                <w:rFonts w:hint="eastAsia" w:ascii="等线" w:hAnsi="等线" w:eastAsia="等线" w:cs="等线"/>
                <w:color w:val="auto"/>
                <w:sz w:val="22"/>
                <w:szCs w:val="22"/>
                <w:lang w:eastAsia="zh-CN"/>
              </w:rPr>
            </w:pPr>
            <w:r>
              <w:rPr>
                <w:rFonts w:hint="eastAsia" w:ascii="等线" w:hAnsi="等线" w:eastAsia="等线" w:cs="等线"/>
                <w:color w:val="auto"/>
                <w:sz w:val="22"/>
                <w:szCs w:val="22"/>
                <w:lang w:val="en-US" w:eastAsia="zh-CN"/>
              </w:rPr>
              <w:t>16.</w:t>
            </w:r>
            <w:r>
              <w:rPr>
                <w:rFonts w:hint="eastAsia" w:ascii="等线" w:hAnsi="等线" w:eastAsia="等线" w:cs="等线"/>
                <w:color w:val="auto"/>
                <w:sz w:val="22"/>
                <w:szCs w:val="22"/>
              </w:rPr>
              <w:t>3.自研电池管理系统（BMS）</w:t>
            </w:r>
            <w:r>
              <w:rPr>
                <w:rFonts w:hint="eastAsia" w:ascii="等线" w:hAnsi="等线" w:eastAsia="等线" w:cs="等线"/>
                <w:color w:val="auto"/>
                <w:sz w:val="22"/>
                <w:szCs w:val="22"/>
                <w:lang w:eastAsia="zh-CN"/>
              </w:rPr>
              <w:t>；</w:t>
            </w:r>
          </w:p>
          <w:p w14:paraId="24D566F3">
            <w:pPr>
              <w:widowControl/>
              <w:jc w:val="left"/>
              <w:textAlignment w:val="center"/>
              <w:rPr>
                <w:rFonts w:hint="eastAsia" w:ascii="等线" w:hAnsi="等线" w:eastAsia="等线" w:cs="等线"/>
                <w:color w:val="auto"/>
                <w:sz w:val="22"/>
                <w:szCs w:val="22"/>
                <w:lang w:eastAsia="zh-CN"/>
              </w:rPr>
            </w:pPr>
            <w:r>
              <w:rPr>
                <w:rFonts w:hint="eastAsia" w:ascii="等线" w:hAnsi="等线" w:eastAsia="等线" w:cs="等线"/>
                <w:color w:val="auto"/>
                <w:sz w:val="22"/>
                <w:szCs w:val="22"/>
                <w:lang w:val="en-US" w:eastAsia="zh-CN"/>
              </w:rPr>
              <w:t>16.</w:t>
            </w:r>
            <w:r>
              <w:rPr>
                <w:rFonts w:hint="eastAsia" w:ascii="等线" w:hAnsi="等线" w:eastAsia="等线" w:cs="等线"/>
                <w:color w:val="auto"/>
                <w:sz w:val="22"/>
                <w:szCs w:val="22"/>
              </w:rPr>
              <w:t>4.功能：电量显示、电池储存自放电保护、平衡充电保护、过充电保护、过充电保护、过放电保护、短路保护、电池负载检测保护</w:t>
            </w:r>
            <w:r>
              <w:rPr>
                <w:rFonts w:hint="eastAsia" w:ascii="等线" w:hAnsi="等线" w:eastAsia="等线" w:cs="等线"/>
                <w:color w:val="auto"/>
                <w:sz w:val="22"/>
                <w:szCs w:val="22"/>
                <w:lang w:eastAsia="zh-CN"/>
              </w:rPr>
              <w:t>；</w:t>
            </w:r>
          </w:p>
          <w:p w14:paraId="6515A18A">
            <w:pPr>
              <w:widowControl/>
              <w:jc w:val="left"/>
              <w:textAlignment w:val="center"/>
              <w:rPr>
                <w:rFonts w:hint="default" w:ascii="等线" w:hAnsi="等线" w:eastAsia="等线" w:cs="等线"/>
                <w:color w:val="auto"/>
                <w:sz w:val="22"/>
                <w:szCs w:val="22"/>
                <w:lang w:val="en-US" w:eastAsia="zh-CN"/>
              </w:rPr>
            </w:pPr>
            <w:r>
              <w:rPr>
                <w:rFonts w:hint="eastAsia" w:ascii="等线" w:hAnsi="等线" w:eastAsia="等线" w:cs="等线"/>
                <w:color w:val="auto"/>
                <w:sz w:val="22"/>
                <w:szCs w:val="22"/>
              </w:rPr>
              <w:t>17.通用人形机器人G1</w:t>
            </w:r>
            <w:r>
              <w:rPr>
                <w:rFonts w:hint="eastAsia" w:ascii="等线" w:hAnsi="等线" w:eastAsia="等线" w:cs="等线"/>
                <w:color w:val="auto"/>
                <w:sz w:val="22"/>
                <w:szCs w:val="22"/>
                <w:lang w:val="en-US" w:eastAsia="zh-CN"/>
              </w:rPr>
              <w:t>专</w:t>
            </w:r>
            <w:r>
              <w:rPr>
                <w:rFonts w:hint="eastAsia" w:ascii="等线" w:hAnsi="等线" w:eastAsia="等线" w:cs="等线"/>
                <w:color w:val="auto"/>
                <w:sz w:val="22"/>
                <w:szCs w:val="22"/>
              </w:rPr>
              <w:t xml:space="preserve">用，调试保护支架 </w:t>
            </w:r>
            <w:r>
              <w:rPr>
                <w:rFonts w:hint="eastAsia" w:ascii="等线" w:hAnsi="等线" w:eastAsia="等线" w:cs="等线"/>
                <w:color w:val="auto"/>
                <w:sz w:val="22"/>
                <w:szCs w:val="22"/>
                <w:lang w:eastAsia="zh-CN"/>
              </w:rPr>
              <w:t>，</w:t>
            </w:r>
            <w:r>
              <w:rPr>
                <w:rFonts w:hint="eastAsia" w:ascii="等线" w:hAnsi="等线" w:eastAsia="等线" w:cs="等线"/>
                <w:color w:val="auto"/>
                <w:sz w:val="22"/>
                <w:szCs w:val="22"/>
                <w:lang w:val="en-US" w:eastAsia="zh-CN"/>
              </w:rPr>
              <w:t>要求如下：</w:t>
            </w:r>
          </w:p>
          <w:p w14:paraId="4F176E39">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7</w:t>
            </w:r>
            <w:r>
              <w:rPr>
                <w:rFonts w:hint="eastAsia" w:ascii="等线" w:hAnsi="等线" w:eastAsia="等线" w:cs="等线"/>
                <w:color w:val="auto"/>
                <w:sz w:val="22"/>
                <w:szCs w:val="22"/>
              </w:rPr>
              <w:t>.1 负载≥ 200KG</w:t>
            </w:r>
          </w:p>
          <w:p w14:paraId="0CC536FA">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7</w:t>
            </w:r>
            <w:r>
              <w:rPr>
                <w:rFonts w:hint="eastAsia" w:ascii="等线" w:hAnsi="等线" w:eastAsia="等线" w:cs="等线"/>
                <w:color w:val="auto"/>
                <w:sz w:val="22"/>
                <w:szCs w:val="22"/>
              </w:rPr>
              <w:t>.2 后轮间距≥800mm，</w:t>
            </w:r>
          </w:p>
          <w:p w14:paraId="06E36004">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7</w:t>
            </w:r>
            <w:r>
              <w:rPr>
                <w:rFonts w:hint="eastAsia" w:ascii="等线" w:hAnsi="等线" w:eastAsia="等线" w:cs="等线"/>
                <w:color w:val="auto"/>
                <w:sz w:val="22"/>
                <w:szCs w:val="22"/>
              </w:rPr>
              <w:t>.3 立柱地盘双钢梁支撑，配有5个可锁万向轮，地盘深度 约700mm；两腿内宽 ≥900mm；后轮间距 ≥800mm；支腿长度 ≥850mm；</w:t>
            </w:r>
          </w:p>
          <w:p w14:paraId="75DC06D3">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7</w:t>
            </w:r>
            <w:r>
              <w:rPr>
                <w:rFonts w:hint="eastAsia" w:ascii="等线" w:hAnsi="等线" w:eastAsia="等线" w:cs="等线"/>
                <w:color w:val="auto"/>
                <w:sz w:val="22"/>
                <w:szCs w:val="22"/>
              </w:rPr>
              <w:t>.4 吊钩离地面最大距离 ≥2000mm；</w:t>
            </w:r>
          </w:p>
          <w:p w14:paraId="4610CD48">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7</w:t>
            </w:r>
            <w:r>
              <w:rPr>
                <w:rFonts w:hint="eastAsia" w:ascii="等线" w:hAnsi="等线" w:eastAsia="等线" w:cs="等线"/>
                <w:color w:val="auto"/>
                <w:sz w:val="22"/>
                <w:szCs w:val="22"/>
              </w:rPr>
              <w:t>.5 吊钩离立柱的距离 ≥600mm</w:t>
            </w:r>
          </w:p>
          <w:p w14:paraId="56E624A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18.基础算力：8核高性能CPU或优于；</w:t>
            </w:r>
          </w:p>
          <w:p w14:paraId="5C5D637E">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▲19.具备≥100Tops算力的拓展坞，含AI算法及技术支持；</w:t>
            </w:r>
          </w:p>
          <w:p w14:paraId="3AA5CEC4">
            <w:pPr>
              <w:widowControl/>
              <w:jc w:val="left"/>
              <w:textAlignment w:val="center"/>
              <w:rPr>
                <w:rFonts w:hint="eastAsia" w:ascii="等线" w:hAnsi="等线" w:eastAsia="等线" w:cs="等线"/>
                <w:color w:val="auto"/>
                <w:sz w:val="22"/>
                <w:szCs w:val="22"/>
              </w:rPr>
            </w:pPr>
            <w:bookmarkStart w:id="4" w:name="OLE_LINK8"/>
            <w:bookmarkStart w:id="5" w:name="OLE_LINK7"/>
            <w:r>
              <w:rPr>
                <w:rFonts w:hint="eastAsia" w:ascii="等线" w:hAnsi="等线" w:eastAsia="等线" w:cs="等线"/>
                <w:color w:val="auto"/>
                <w:sz w:val="22"/>
                <w:szCs w:val="22"/>
              </w:rPr>
              <w:t>▲</w:t>
            </w:r>
            <w:bookmarkEnd w:id="4"/>
            <w:bookmarkEnd w:id="5"/>
            <w:r>
              <w:rPr>
                <w:rFonts w:hint="eastAsia" w:ascii="等线" w:hAnsi="等线" w:eastAsia="等线" w:cs="等线"/>
                <w:color w:val="auto"/>
                <w:sz w:val="22"/>
                <w:szCs w:val="22"/>
              </w:rPr>
              <w:t>20.支持高层和底层的二次开发，供货时需提供以下资料：</w:t>
            </w:r>
          </w:p>
          <w:p w14:paraId="6621D92F">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20.1  详细的用户使用，软件开发等手册等；</w:t>
            </w:r>
          </w:p>
          <w:p w14:paraId="17FE5FA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20.2  提供高层控制（如行走）功能的二次开发文档及例程；</w:t>
            </w:r>
          </w:p>
          <w:p w14:paraId="2041F5F9">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20.3  提供底层控制（电机的位置、速度和力矩）功能的二次开发文档及例程。</w:t>
            </w:r>
          </w:p>
          <w:p w14:paraId="18D5C01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20.4  通用Ubuntu操作系统，易于使用通用数学库、机器人库，开发程序。</w:t>
            </w:r>
          </w:p>
          <w:p w14:paraId="2DA4F67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20.5 提供调用运动控制的接口、提供产学研赛合作支持；</w:t>
            </w:r>
          </w:p>
          <w:p w14:paraId="4CD9CDEE">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21. 运动控制：支持越障运控模式；支持舞蹈运控模式（提供</w:t>
            </w:r>
            <w:r>
              <w:rPr>
                <w:rFonts w:hint="eastAsia" w:ascii="等线" w:hAnsi="等线" w:eastAsia="等线" w:cs="等线"/>
                <w:color w:val="auto"/>
                <w:sz w:val="22"/>
                <w:szCs w:val="22"/>
                <w:lang w:val="en-US" w:eastAsia="zh-CN"/>
              </w:rPr>
              <w:t>原厂自带的</w:t>
            </w:r>
            <w:r>
              <w:rPr>
                <w:rFonts w:hint="eastAsia" w:ascii="等线" w:hAnsi="等线" w:eastAsia="等线" w:cs="等线"/>
                <w:color w:val="auto"/>
                <w:sz w:val="22"/>
                <w:szCs w:val="22"/>
              </w:rPr>
              <w:t>查尔斯、kongfu等多段舞蹈）；</w:t>
            </w:r>
          </w:p>
          <w:p w14:paraId="46F3166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22. 导航功能：支持APP 建图、路径规划、巡逻等功能；</w:t>
            </w:r>
          </w:p>
          <w:p w14:paraId="74006228">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23. 音频管理：支持APP录音音频、外部导入音频在设备上播放；</w:t>
            </w:r>
          </w:p>
          <w:p w14:paraId="3C82109D">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24. 示教功能：支持可通过控制手臂关节、腰部旋转关节自己编排舞蹈动作；</w:t>
            </w:r>
          </w:p>
          <w:p w14:paraId="19C34E41">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25. 日志上传：支持授权后将日志上传到后台，供研发查看异常日志功能入口；</w:t>
            </w:r>
          </w:p>
          <w:p w14:paraId="7212A14D">
            <w:pPr>
              <w:widowControl/>
              <w:jc w:val="left"/>
              <w:textAlignment w:val="center"/>
              <w:rPr>
                <w:rFonts w:hint="eastAsia" w:ascii="等线" w:hAnsi="等线" w:eastAsia="等线" w:cs="等线"/>
                <w:b w:val="0"/>
                <w:bCs w:val="0"/>
                <w:color w:val="auto"/>
                <w:sz w:val="22"/>
                <w:szCs w:val="22"/>
                <w:lang w:val="en-US" w:eastAsia="zh-CN"/>
              </w:rPr>
            </w:pPr>
            <w:r>
              <w:rPr>
                <w:rFonts w:hint="eastAsia" w:ascii="等线" w:hAnsi="等线" w:eastAsia="等线" w:cs="等线"/>
                <w:color w:val="auto"/>
                <w:sz w:val="22"/>
                <w:szCs w:val="22"/>
              </w:rPr>
              <w:t>26. 权限管理：支持公网远程连接管理功能，此功能默认关闭，需要授权，授权成功后，机器人连接网络，可以看到基础的产品本体信息(如机器人编号、健康状态)。</w:t>
            </w:r>
            <w:r>
              <w:rPr>
                <w:rFonts w:hint="eastAsia" w:ascii="等线" w:hAnsi="等线" w:eastAsia="等线" w:cs="等线"/>
                <w:color w:val="auto"/>
                <w:sz w:val="22"/>
                <w:szCs w:val="22"/>
                <w:lang w:val="en-US" w:eastAsia="zh-CN"/>
              </w:rPr>
              <w:t xml:space="preserve">                             </w:t>
            </w:r>
            <w:r>
              <w:rPr>
                <w:rFonts w:hint="eastAsia" w:ascii="等线" w:hAnsi="等线" w:eastAsia="等线" w:cs="等线"/>
                <w:color w:val="auto"/>
                <w:sz w:val="22"/>
                <w:szCs w:val="22"/>
              </w:rPr>
              <w:t>▲</w:t>
            </w:r>
            <w:r>
              <w:rPr>
                <w:rFonts w:hint="eastAsia" w:ascii="等线" w:hAnsi="等线" w:eastAsia="等线" w:cs="等线"/>
                <w:b w:val="0"/>
                <w:bCs w:val="0"/>
                <w:color w:val="auto"/>
                <w:sz w:val="22"/>
                <w:szCs w:val="22"/>
                <w:lang w:val="en-US" w:eastAsia="zh-CN"/>
              </w:rPr>
              <w:t xml:space="preserve">27.提供示教动作和舞蹈 </w:t>
            </w:r>
          </w:p>
          <w:p w14:paraId="03A8D308">
            <w:pPr>
              <w:widowControl/>
              <w:jc w:val="left"/>
              <w:textAlignment w:val="center"/>
              <w:rPr>
                <w:rFonts w:hint="eastAsia" w:ascii="等线" w:hAnsi="等线" w:eastAsia="等线" w:cs="等线"/>
                <w:b w:val="0"/>
                <w:bCs w:val="0"/>
                <w:color w:val="auto"/>
                <w:sz w:val="22"/>
                <w:szCs w:val="22"/>
                <w:lang w:val="en-US" w:eastAsia="zh-CN"/>
              </w:rPr>
            </w:pPr>
            <w:r>
              <w:rPr>
                <w:rFonts w:hint="eastAsia" w:ascii="等线" w:hAnsi="等线" w:eastAsia="等线" w:cs="等线"/>
                <w:b w:val="0"/>
                <w:bCs w:val="0"/>
                <w:color w:val="auto"/>
                <w:sz w:val="22"/>
                <w:szCs w:val="22"/>
                <w:lang w:val="en-US" w:eastAsia="zh-CN"/>
              </w:rPr>
              <w:t>27.1示教舞蹈：太极、爱你、机械舞、胜利之舞APT、青海摇、兔子舞、黑桃A</w:t>
            </w:r>
          </w:p>
          <w:p w14:paraId="2D3F5642">
            <w:pPr>
              <w:widowControl/>
              <w:jc w:val="left"/>
              <w:textAlignment w:val="center"/>
              <w:rPr>
                <w:rFonts w:hint="eastAsia" w:ascii="等线" w:hAnsi="等线" w:eastAsia="等线" w:cs="等线"/>
                <w:b w:val="0"/>
                <w:bCs w:val="0"/>
                <w:color w:val="auto"/>
                <w:sz w:val="22"/>
                <w:szCs w:val="22"/>
                <w:lang w:val="en-US" w:eastAsia="zh-CN"/>
              </w:rPr>
            </w:pPr>
            <w:r>
              <w:rPr>
                <w:rFonts w:hint="eastAsia" w:ascii="等线" w:hAnsi="等线" w:eastAsia="等线" w:cs="等线"/>
                <w:b w:val="0"/>
                <w:bCs w:val="0"/>
                <w:color w:val="auto"/>
                <w:sz w:val="22"/>
                <w:szCs w:val="22"/>
                <w:lang w:val="en-US" w:eastAsia="zh-CN"/>
              </w:rPr>
              <w:t>27.2示教动作：比心、飞吻、敬礼、少先队员敬礼、托举、左手提篮、鼓掌、作揖、这边请、投篮、打碟、敲鼓、按下启动仪式、动感光波、打叉、双手又腰</w:t>
            </w:r>
          </w:p>
          <w:p w14:paraId="642B3F87">
            <w:pPr>
              <w:widowControl/>
              <w:jc w:val="left"/>
              <w:textAlignment w:val="center"/>
              <w:rPr>
                <w:rFonts w:hint="eastAsia" w:ascii="等线" w:hAnsi="等线" w:eastAsia="等线" w:cs="等线"/>
                <w:b w:val="0"/>
                <w:bCs w:val="0"/>
                <w:color w:val="auto"/>
                <w:sz w:val="22"/>
                <w:szCs w:val="22"/>
                <w:lang w:val="en-US" w:eastAsia="zh-CN"/>
              </w:rPr>
            </w:pPr>
            <w:r>
              <w:rPr>
                <w:rFonts w:hint="eastAsia" w:ascii="等线" w:hAnsi="等线" w:eastAsia="等线" w:cs="等线"/>
                <w:b w:val="0"/>
                <w:bCs w:val="0"/>
                <w:color w:val="auto"/>
                <w:sz w:val="22"/>
                <w:szCs w:val="22"/>
                <w:lang w:val="en-US" w:eastAsia="zh-CN"/>
              </w:rPr>
              <w:t>27.3示教拳击动作  拳击预备、挑衅、拳击、胜利欢呼</w:t>
            </w:r>
          </w:p>
          <w:p w14:paraId="5140B883">
            <w:pPr>
              <w:widowControl/>
              <w:jc w:val="left"/>
              <w:textAlignment w:val="center"/>
              <w:rPr>
                <w:rFonts w:hint="default"/>
                <w:color w:val="auto"/>
                <w:lang w:val="en-US" w:eastAsia="zh-CN"/>
              </w:rPr>
            </w:pPr>
            <w:r>
              <w:rPr>
                <w:rFonts w:hint="eastAsia" w:ascii="等线" w:hAnsi="等线" w:eastAsia="等线" w:cs="等线"/>
                <w:b w:val="0"/>
                <w:bCs w:val="0"/>
                <w:color w:val="auto"/>
                <w:sz w:val="22"/>
                <w:szCs w:val="22"/>
                <w:lang w:val="en-US" w:eastAsia="zh-CN"/>
              </w:rPr>
              <w:t>27.4示教查尔斯顿舞蹈：帅气起身、优雅落地、查尔斯顿舞台版、查尔斯顿完整版</w:t>
            </w:r>
          </w:p>
          <w:p w14:paraId="2B9BC105">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w:t>
            </w:r>
            <w:r>
              <w:rPr>
                <w:rFonts w:hint="eastAsia" w:ascii="等线" w:hAnsi="等线" w:eastAsia="等线" w:cs="等线"/>
                <w:color w:val="auto"/>
                <w:sz w:val="22"/>
                <w:szCs w:val="22"/>
                <w:lang w:val="en-US" w:eastAsia="zh-CN"/>
              </w:rPr>
              <w:t>8</w:t>
            </w:r>
            <w:r>
              <w:rPr>
                <w:rFonts w:hint="eastAsia" w:ascii="等线" w:hAnsi="等线" w:eastAsia="等线" w:cs="等线"/>
                <w:color w:val="auto"/>
                <w:sz w:val="22"/>
                <w:szCs w:val="22"/>
              </w:rPr>
              <w:t>.供货时需提供通过CMA或CNAS等国家认可的资质认证的第三方检测机构出具的检测报告及检测报告在</w:t>
            </w:r>
            <w:bookmarkStart w:id="6" w:name="OLE_LINK3"/>
            <w:bookmarkStart w:id="7" w:name="OLE_LINK4"/>
            <w:r>
              <w:rPr>
                <w:rFonts w:hint="eastAsia" w:ascii="等线" w:hAnsi="等线" w:eastAsia="等线" w:cs="等线"/>
                <w:color w:val="auto"/>
                <w:sz w:val="22"/>
                <w:szCs w:val="22"/>
              </w:rPr>
              <w:t>全国认证认可信息公共服务平台网</w:t>
            </w:r>
            <w:bookmarkEnd w:id="6"/>
            <w:bookmarkEnd w:id="7"/>
            <w:r>
              <w:rPr>
                <w:rFonts w:hint="eastAsia" w:ascii="等线" w:hAnsi="等线" w:eastAsia="等线" w:cs="等线"/>
                <w:color w:val="auto"/>
                <w:sz w:val="22"/>
                <w:szCs w:val="22"/>
              </w:rPr>
              <w:t xml:space="preserve"> （全国认证认可信息公共服务平台</w:t>
            </w:r>
          </w:p>
          <w:p w14:paraId="3C391EED">
            <w:pPr>
              <w:widowControl/>
              <w:jc w:val="left"/>
              <w:textAlignment w:val="center"/>
              <w:rPr>
                <w:rFonts w:hint="eastAsia" w:ascii="等线" w:hAnsi="等线" w:eastAsia="等线" w:cs="等线"/>
                <w:color w:val="auto"/>
                <w:sz w:val="22"/>
                <w:szCs w:val="22"/>
              </w:rPr>
            </w:pPr>
            <w:bookmarkStart w:id="8" w:name="OLE_LINK6"/>
            <w:bookmarkStart w:id="9" w:name="OLE_LINK5"/>
            <w:r>
              <w:rPr>
                <w:rFonts w:ascii="等线" w:hAnsi="等线" w:eastAsia="等线" w:cs="等线"/>
                <w:color w:val="auto"/>
                <w:sz w:val="22"/>
                <w:szCs w:val="22"/>
              </w:rPr>
              <w:t>http://cx.cnca.cn/CertECloud/index/index/page</w:t>
            </w:r>
            <w:bookmarkEnd w:id="8"/>
            <w:bookmarkEnd w:id="9"/>
            <w:r>
              <w:rPr>
                <w:rFonts w:hint="eastAsia" w:ascii="等线" w:hAnsi="等线" w:eastAsia="等线" w:cs="等线"/>
                <w:color w:val="auto"/>
                <w:sz w:val="22"/>
                <w:szCs w:val="22"/>
              </w:rPr>
              <w:t>） 可以查询到该项检测报告，否则，不予以验收。</w:t>
            </w:r>
          </w:p>
          <w:p w14:paraId="60D5E7BA">
            <w:pPr>
              <w:widowControl/>
              <w:jc w:val="left"/>
              <w:textAlignment w:val="center"/>
              <w:rPr>
                <w:rFonts w:hint="default" w:eastAsia="等线"/>
                <w:color w:val="auto"/>
                <w:lang w:val="en-US" w:eastAsia="zh-CN"/>
              </w:rPr>
            </w:pPr>
          </w:p>
        </w:tc>
      </w:tr>
      <w:tr w14:paraId="6C01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9798" w:type="dxa"/>
            <w:gridSpan w:val="5"/>
            <w:vAlign w:val="center"/>
          </w:tcPr>
          <w:p w14:paraId="2E95AC91">
            <w:pPr>
              <w:numPr>
                <w:ilvl w:val="0"/>
                <w:numId w:val="1"/>
              </w:numPr>
              <w:rPr>
                <w:rFonts w:hint="eastAsia" w:ascii="等线" w:hAnsi="等线" w:eastAsia="等线" w:cs="等线"/>
                <w:b/>
                <w:bCs/>
                <w:color w:val="auto"/>
                <w:sz w:val="24"/>
                <w:szCs w:val="24"/>
                <w:highlight w:val="none"/>
                <w:lang w:val="en-US" w:eastAsia="zh-CN"/>
              </w:rPr>
            </w:pPr>
            <w:r>
              <w:rPr>
                <w:rFonts w:hint="eastAsia" w:ascii="等线" w:hAnsi="等线" w:eastAsia="等线" w:cs="等线"/>
                <w:b/>
                <w:bCs/>
                <w:color w:val="auto"/>
                <w:sz w:val="24"/>
                <w:szCs w:val="24"/>
                <w:highlight w:val="none"/>
                <w:lang w:val="en-US" w:eastAsia="zh-CN"/>
              </w:rPr>
              <w:t>商务要求</w:t>
            </w:r>
          </w:p>
          <w:p w14:paraId="624462F1">
            <w:pPr>
              <w:pStyle w:val="2"/>
              <w:numPr>
                <w:ilvl w:val="0"/>
                <w:numId w:val="0"/>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1.投标报价不能超出采购预算金额，否则投标文件按无效处理。</w:t>
            </w:r>
          </w:p>
          <w:p w14:paraId="2D601FB5">
            <w:pPr>
              <w:pStyle w:val="2"/>
              <w:numPr>
                <w:ilvl w:val="0"/>
                <w:numId w:val="0"/>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2.投标报价为采购人指定地点的现场交货价,投标人应确认报价已包含完成本项目所需的人力物力成本、管理费、其他费用、利润、税金等完成本项目的所有费用。采购人不再支付任何费用，请合理报价。</w:t>
            </w:r>
          </w:p>
          <w:p w14:paraId="4FE072B5">
            <w:pPr>
              <w:pStyle w:val="2"/>
              <w:numPr>
                <w:ilvl w:val="0"/>
                <w:numId w:val="0"/>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3.要求投标产品必须完全符合招标参数的规格及技术要求。并按国家有关产品"三包"规定执行“三包”。</w:t>
            </w:r>
          </w:p>
          <w:p w14:paraId="26AA8151">
            <w:pPr>
              <w:numPr>
                <w:ilvl w:val="0"/>
                <w:numId w:val="0"/>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4.投标人需在桂林市内设有实体经营场所，以便于提供及时有效的售后服务和技术支持，否则，投标无效。</w:t>
            </w:r>
          </w:p>
          <w:p w14:paraId="048D9649">
            <w:pPr>
              <w:numPr>
                <w:ilvl w:val="0"/>
                <w:numId w:val="0"/>
              </w:numPr>
              <w:rPr>
                <w:rFonts w:hint="default"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5.为保证产品质量，中标供应商在供货时必须提供生产厂家针对本项目开具的供货证明、售后服务承诺函原件及有效的ISO或GB/T系列质量管理体系认证证书及有效的ISO或GB/T系列环境管理体系认证证书扫描件，否则，不予以验收。</w:t>
            </w:r>
          </w:p>
          <w:p w14:paraId="597CA5EE">
            <w:pPr>
              <w:numPr>
                <w:ilvl w:val="0"/>
                <w:numId w:val="2"/>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售后服务：必须提供原厂金牌代理商本地化上门安装调试和售后服务培训以及提供二次开发支持。</w:t>
            </w:r>
          </w:p>
          <w:p w14:paraId="13279407">
            <w:pPr>
              <w:numPr>
                <w:ilvl w:val="0"/>
                <w:numId w:val="2"/>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以上参数验收时进行逐条验收，一旦发现实际交付设备参数与招标采购参数不符，报财政监管部门以虚假应标行为进行处理，除赔偿采购人因此产生的损失，还将被纳入政府采购诚信库。</w:t>
            </w:r>
          </w:p>
          <w:p w14:paraId="0ED186FC">
            <w:pPr>
              <w:pStyle w:val="2"/>
              <w:numPr>
                <w:ilvl w:val="0"/>
                <w:numId w:val="0"/>
              </w:numPr>
              <w:rPr>
                <w:rFonts w:hint="eastAsia" w:eastAsia="宋体"/>
                <w:color w:val="auto"/>
                <w:lang w:val="en-US" w:eastAsia="zh-CN"/>
              </w:rPr>
            </w:pPr>
            <w:r>
              <w:rPr>
                <w:rFonts w:hint="eastAsia"/>
                <w:color w:val="auto"/>
                <w:lang w:val="en-US" w:eastAsia="zh-CN"/>
              </w:rPr>
              <w:t>注：</w:t>
            </w:r>
            <w:r>
              <w:rPr>
                <w:rFonts w:hint="eastAsia" w:ascii="宋体" w:hAnsi="宋体" w:eastAsia="宋体" w:cs="宋体"/>
                <w:b/>
                <w:bCs/>
                <w:color w:val="auto"/>
                <w:sz w:val="24"/>
                <w:szCs w:val="24"/>
              </w:rPr>
              <w:t>标注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rPr>
              <w:t>”号</w:t>
            </w:r>
            <w:r>
              <w:rPr>
                <w:rFonts w:hint="eastAsia" w:ascii="宋体" w:hAnsi="宋体" w:eastAsia="宋体" w:cs="宋体"/>
                <w:b/>
                <w:bCs/>
                <w:color w:val="auto"/>
                <w:kern w:val="2"/>
                <w:sz w:val="24"/>
                <w:szCs w:val="24"/>
              </w:rPr>
              <w:t>项的要求为实质性要求，不允许负偏离，否则投标无效</w:t>
            </w:r>
            <w:r>
              <w:rPr>
                <w:rFonts w:hint="eastAsia" w:ascii="宋体" w:hAnsi="宋体" w:eastAsia="宋体" w:cs="宋体"/>
                <w:b/>
                <w:bCs/>
                <w:color w:val="auto"/>
                <w:kern w:val="2"/>
                <w:sz w:val="24"/>
                <w:szCs w:val="24"/>
                <w:lang w:eastAsia="zh-CN"/>
              </w:rPr>
              <w:t>。</w:t>
            </w:r>
          </w:p>
        </w:tc>
      </w:tr>
    </w:tbl>
    <w:p w14:paraId="30C366D4"/>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34F15"/>
    <w:multiLevelType w:val="singleLevel"/>
    <w:tmpl w:val="09C34F15"/>
    <w:lvl w:ilvl="0" w:tentative="0">
      <w:start w:val="2"/>
      <w:numFmt w:val="chineseCounting"/>
      <w:suff w:val="nothing"/>
      <w:lvlText w:val="%1、"/>
      <w:lvlJc w:val="left"/>
      <w:rPr>
        <w:rFonts w:hint="eastAsia"/>
      </w:rPr>
    </w:lvl>
  </w:abstractNum>
  <w:abstractNum w:abstractNumId="1">
    <w:nsid w:val="3AF52F5E"/>
    <w:multiLevelType w:val="singleLevel"/>
    <w:tmpl w:val="3AF52F5E"/>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AC"/>
    <w:rsid w:val="00340D29"/>
    <w:rsid w:val="003437AC"/>
    <w:rsid w:val="003B78E0"/>
    <w:rsid w:val="005463CE"/>
    <w:rsid w:val="005A7C28"/>
    <w:rsid w:val="00632379"/>
    <w:rsid w:val="006D516B"/>
    <w:rsid w:val="00816567"/>
    <w:rsid w:val="00AA7661"/>
    <w:rsid w:val="00B02FD8"/>
    <w:rsid w:val="00E041FD"/>
    <w:rsid w:val="00FB6458"/>
    <w:rsid w:val="045215DD"/>
    <w:rsid w:val="0659586C"/>
    <w:rsid w:val="06B9057B"/>
    <w:rsid w:val="097053A7"/>
    <w:rsid w:val="09BB3687"/>
    <w:rsid w:val="106E13D2"/>
    <w:rsid w:val="10BB6702"/>
    <w:rsid w:val="12CA1FCB"/>
    <w:rsid w:val="16A44534"/>
    <w:rsid w:val="16A4558D"/>
    <w:rsid w:val="1727029C"/>
    <w:rsid w:val="1ABC57E3"/>
    <w:rsid w:val="1AF220BF"/>
    <w:rsid w:val="249D78E2"/>
    <w:rsid w:val="24CF32B2"/>
    <w:rsid w:val="26437C73"/>
    <w:rsid w:val="2D962D7E"/>
    <w:rsid w:val="32D100C2"/>
    <w:rsid w:val="36AE2339"/>
    <w:rsid w:val="3767593B"/>
    <w:rsid w:val="3DB44648"/>
    <w:rsid w:val="43EB310A"/>
    <w:rsid w:val="45EA3344"/>
    <w:rsid w:val="46F57885"/>
    <w:rsid w:val="4C206DD6"/>
    <w:rsid w:val="515F2122"/>
    <w:rsid w:val="536410A5"/>
    <w:rsid w:val="58F9403E"/>
    <w:rsid w:val="591E42C6"/>
    <w:rsid w:val="67D620CF"/>
    <w:rsid w:val="6A7F2DA2"/>
    <w:rsid w:val="747607E0"/>
    <w:rsid w:val="786A2083"/>
    <w:rsid w:val="7A34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2046</Words>
  <Characters>2612</Characters>
  <Lines>17</Lines>
  <Paragraphs>5</Paragraphs>
  <TotalTime>1047</TotalTime>
  <ScaleCrop>false</ScaleCrop>
  <LinksUpToDate>false</LinksUpToDate>
  <CharactersWithSpaces>2770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2025-10-14T02:00:00Z</dcterms:created>
  <dc:creator>PC</dc:creator>
  <cp:lastModifiedBy>龙大大</cp:lastModifiedBy>
  <dcterms:modified xsi:type="dcterms:W3CDTF">2025-11-07T02:29:19Z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eyJoZGlkIjoiYzJlNGJmYmU5MWRmMTJjZjhjMWFhYzRjODJjY2M3ZjYiLCJ1c2VySWQiOiIyNDEzNDc1OTgifQ==</vt:lpwstr>
  </property>
  <property fmtid="{D5CDD505-2E9C-101B-9397-08002B2CF9AE}" pid="3" name="KSOProductBuildVer">
    <vt:lpwstr>2052-12.1.0.23542</vt:lpwstr>
  </property>
  <property fmtid="{D5CDD505-2E9C-101B-9397-08002B2CF9AE}" pid="4" name="ICV">
    <vt:lpwstr>8F9E93BA3571426AAA238E6E713D38F9_13</vt:lpwstr>
  </property>
</Properties>
</file>